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B" w:rsidRDefault="007637ED" w:rsidP="007637ED">
      <w:pPr>
        <w:jc w:val="center"/>
        <w:rPr>
          <w:b/>
          <w:sz w:val="40"/>
          <w:szCs w:val="40"/>
        </w:rPr>
      </w:pPr>
      <w:r w:rsidRPr="007637ED">
        <w:rPr>
          <w:b/>
          <w:sz w:val="40"/>
          <w:szCs w:val="40"/>
        </w:rPr>
        <w:t>Gimnastyka sportowa kobiet i mężczyzn</w:t>
      </w:r>
    </w:p>
    <w:p w:rsidR="007D218E" w:rsidRDefault="007D218E" w:rsidP="007637ED">
      <w:pPr>
        <w:rPr>
          <w:sz w:val="24"/>
          <w:szCs w:val="24"/>
        </w:rPr>
      </w:pPr>
    </w:p>
    <w:p w:rsidR="007637ED" w:rsidRPr="007637ED" w:rsidRDefault="007637ED" w:rsidP="007637ED">
      <w:pPr>
        <w:rPr>
          <w:sz w:val="24"/>
          <w:szCs w:val="24"/>
        </w:rPr>
      </w:pPr>
      <w:r w:rsidRPr="007637ED">
        <w:rPr>
          <w:sz w:val="24"/>
          <w:szCs w:val="24"/>
        </w:rPr>
        <w:t xml:space="preserve">Gimnastyka sportowa jest jedną z najstarszych oraz jedną z najbardziej widowiskowych dyscyplin sportu w programie letnich Igrzysk Olimpijskich (IO). Ponad dwa tysiące lat temu w starożytnej Grecji zajęcia gimnastyczne były centrum kulturalnego ożywienia. Mężczyźni oprócz wykonywania skomplikowanych ewolucji gimnastycznych dążyli do zrozumienia sztuki, muzyki oraz filozofii. Grecy wierzyli w równowagę pomiędzy umysłem a ciałem, której osiągnięcie było możliwe jedynie poprzez połączenie ćwiczeń fizycznych oraz aktywności intelektualnej. Dzisiaj gimnastyka sportowa jest zręcznym połączeniem sportu i sztuki, ale główna idea do dziś pozostała niezmienna. Współczesna gimnastyka sportowa wywodzi się z XIX wieku. W 1881 roku powstała Międzynarodowa Federacja Gimnastyczna (FIG), która zajęła się propagowaniem tej dyscypliny. W 1886 gimnastyka sportowa znalazła się wśród sportów olimpijskich nowożytnych Igrzysk, a w 1903 roku w belgijskim mieście </w:t>
      </w:r>
      <w:proofErr w:type="spellStart"/>
      <w:r w:rsidRPr="007637ED">
        <w:rPr>
          <w:sz w:val="24"/>
          <w:szCs w:val="24"/>
        </w:rPr>
        <w:t>Anvers</w:t>
      </w:r>
      <w:proofErr w:type="spellEnd"/>
      <w:r w:rsidRPr="007637ED">
        <w:rPr>
          <w:sz w:val="24"/>
          <w:szCs w:val="24"/>
        </w:rPr>
        <w:t xml:space="preserve"> odbyły się pierwsze gimnastyczne mistrzostwa świata nazwane jako 1-szy Turniej Gimnastyczny. Niegdyś gimnastykę sportową uprawiali wyłącznie mężczyźni. Pierwszy start kobiet w tej dyscyplinie na Igrzyskach Olimpijskich nastąpił dopiero w 1928 roku w Amsterdamie. Obecnie w zawodach gimnastycznych startują zarówno kobiety, jak i mężczyźni, chociaż liczba konkurencji dla zawodników obu płci jest zróżnicowana. Gimnastycy swoje umiejętności prezentują na sześciu przyrządach: plansza ćwiczeń wolnych, koń z łękami, kółka, skok przez stół gimnastyczny, poręcze symetryczne, oraz drążek. Kobiety natomiast występują na czterech przyrządach gimnastycznych i są to: skok przez stół gimnastyczny, poręcze asymetryczne, równoważnia, plansza ćwiczeń wolnych.</w:t>
      </w:r>
    </w:p>
    <w:p w:rsidR="007637ED" w:rsidRDefault="007637ED" w:rsidP="007637ED"/>
    <w:p w:rsidR="007637ED" w:rsidRPr="007637ED" w:rsidRDefault="007637ED" w:rsidP="007637ED">
      <w:pPr>
        <w:outlineLvl w:val="4"/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</w:pPr>
      <w:r w:rsidRPr="007637ED"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  <w:t>Konkurencje kobiet</w:t>
      </w:r>
    </w:p>
    <w:p w:rsidR="007637ED" w:rsidRPr="007637ED" w:rsidRDefault="007637ED" w:rsidP="007637ED">
      <w:pPr>
        <w:rPr>
          <w:rFonts w:eastAsia="Times New Roman" w:cstheme="minorHAnsi"/>
          <w:lang w:eastAsia="pl-PL"/>
        </w:rPr>
      </w:pP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Ćwiczenia wolne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>Plansza ćwiczeń wolnych ma wymiary 12 x 12 metrów oraz dodatkowo 1 metr z każdej strony na pole bezpieczeństwa. Jest sprężysta i pokryta amortyzującą wykładziną. Ćwiczenia na tym przyrządzie charakteryzują się szybkością, skocznością i gibkością. Każdy kobiet wykonywane są do muzyki i zawierają elementy choreografii, przez co tworzą wspaniałe widowisko artystyczne.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Skok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Zawodniczki skaczą przez stół do skoku (dawniej koń). Aktualnie przyrząd przez który skaczą gimnastyczki jest długi na 120 cm i szeroki na 95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 xml:space="preserve">. Jego wysokość to 135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>. Zawodniczka może wziąć maksymalnie 25 metrów rozbiegu po czym odbijają się w odskoczni przeskoczyć przyrząd wykonując obroty i salta. Ćwiczenia na tym przyrządzie są najkrótsze, ale również bardzo widowiskowe.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Poręcze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Wysokość 195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>. To dwie równoległe żerdzie na których gimnastycy wykonując ćwiczenia zamachowe i siłowe. Widowiskowe salta z różnych częściach przyrządu wymagają do zawodników siły, dynamizmu oraz wyczucia balansu.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Równoważnia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Wysokość 1,25 m, długość 5 metrów, a szerokość zaledwie 10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>. Przyrząd wymagający ogromnej precyzji i gracji. Gimnastyczki w czasie ćwiczenia wykonują elementy akrobatyczne, skoki, obroty, elementy równoważne, również w siadzie i w leżeniu. To połączenie elegancji, rytmu, gibkości oraz równowagi. Zeskoki wykonywane na koniec ćwiczenia są często również bardzo widowiskowe.</w:t>
      </w:r>
    </w:p>
    <w:p w:rsidR="007637ED" w:rsidRDefault="007637ED" w:rsidP="007637ED">
      <w:pPr>
        <w:rPr>
          <w:rFonts w:cstheme="minorHAnsi"/>
          <w:b/>
        </w:rPr>
      </w:pPr>
    </w:p>
    <w:p w:rsidR="007637ED" w:rsidRPr="007637ED" w:rsidRDefault="007637ED" w:rsidP="007637ED">
      <w:pPr>
        <w:outlineLvl w:val="4"/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</w:pPr>
      <w:r w:rsidRPr="007637ED"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  <w:t>Konkurencje mężczyzn</w:t>
      </w:r>
    </w:p>
    <w:p w:rsidR="007637ED" w:rsidRPr="007637ED" w:rsidRDefault="007637ED" w:rsidP="007637ED">
      <w:pPr>
        <w:rPr>
          <w:rFonts w:eastAsia="Times New Roman" w:cstheme="minorHAnsi"/>
          <w:lang w:eastAsia="pl-PL"/>
        </w:rPr>
      </w:pP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Ćwiczenia wolne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>Plansza ćwiczeń wolnych ma wymiary 12 x 12 metrów oraz dodatkowo 1 metr z każdej strony na pole bezpieczeństwa. Jest sprężysta i pokryta amortyzującą wykładziną. Ćwiczenia na tym przyrządzie charakteryzują się szybkością, skocznością i gibkością. Każdy układ wykonywany przez gimnastyków zawiera elementy akrobatyczne takie jak salta, śruby oraz elementy statyczne takie jak stania na rękach, wagi.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Koń z łękami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Wysokość 115 cm (od ziemi). Długość 160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 xml:space="preserve">. Odległość między łękami 40- 45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 xml:space="preserve">. Ćwiczenia na tym przyrządzie to pokaz płynności i balansu. Wykonywane są tylko na rękach. Gimnastycy prezentując koła i obroty przemieszczają się po wszystkich częściach tego przyrządu. 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Kółka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lastRenderedPageBreak/>
        <w:t>Wysokość 2,75 metra. Dwa ruchowe kółka na których gimnastycy wykonują elementy zamachowe i siłowe. Ćwiczenia na tym przyrządzie wymagają dużej siły i wyczucia balansu.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Skok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Zawodnicy skaczą przez stół do skoku (dawniej koń). Aktualnie przyrząd przez który skaczą gimnastycy jest długi na 120 cm i szeroki na 95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 xml:space="preserve">. Jego wysokość to 135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>. Zawodnik może wziąć maksymalnie 25 metrów rozbiegu po czym odbijają się w odskoczni przeskoczyć przyrząd wykonując obroty i salta. Ćwiczenia na tym przyrządzie są najkrótsze, ale również bardzo widowiskowe.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Poręcze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Wysokość 195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 xml:space="preserve">. To dwie równoległe żerdzie na których gimnastycy wykonując ćwiczenia zamachowe i siłowe. Widowiskowe salta z różnych częściach przyrządu wymagają do zawodników siły, dynamizmu oraz wyczucia balansu. 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Drążek</w:t>
      </w:r>
    </w:p>
    <w:p w:rsidR="007637ED" w:rsidRPr="007637ED" w:rsidRDefault="007637ED" w:rsidP="007637ED">
      <w:pPr>
        <w:rPr>
          <w:rFonts w:cstheme="minorHAnsi"/>
          <w:b/>
          <w:sz w:val="24"/>
          <w:szCs w:val="24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Wysokość 275 cm, szerokość 240 </w:t>
      </w:r>
      <w:proofErr w:type="spellStart"/>
      <w:r w:rsidRPr="007637E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7637ED">
        <w:rPr>
          <w:rFonts w:eastAsia="Times New Roman" w:cstheme="minorHAnsi"/>
          <w:sz w:val="24"/>
          <w:szCs w:val="24"/>
          <w:lang w:eastAsia="pl-PL"/>
        </w:rPr>
        <w:t>. Ćwiczenia na tym przyrządzie są wyłącznie zamachowe, bez zatrzymań. Jest to kombinacja zwinności oraz dynamicznych akrobacji nad przyrządem. Istotnym elementem jest zeskok, który kończy ćwiczenia i niejednokrotnie przesądza o przegranej lub wygranej.</w:t>
      </w:r>
    </w:p>
    <w:sectPr w:rsidR="007637ED" w:rsidRPr="007637ED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7ED"/>
    <w:rsid w:val="004238FD"/>
    <w:rsid w:val="007637ED"/>
    <w:rsid w:val="007D218E"/>
    <w:rsid w:val="00C71250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paragraph" w:styleId="Nagwek3">
    <w:name w:val="heading 3"/>
    <w:basedOn w:val="Normalny"/>
    <w:link w:val="Nagwek3Znak"/>
    <w:uiPriority w:val="9"/>
    <w:qFormat/>
    <w:rsid w:val="0076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63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37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37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4234</Characters>
  <Application>Microsoft Office Word</Application>
  <DocSecurity>0</DocSecurity>
  <Lines>35</Lines>
  <Paragraphs>9</Paragraphs>
  <ScaleCrop>false</ScaleCrop>
  <Company>Ministrerstwo Edukacji Narodowej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2021-05-06T19:43:00Z</dcterms:created>
  <dcterms:modified xsi:type="dcterms:W3CDTF">2021-05-06T20:09:00Z</dcterms:modified>
</cp:coreProperties>
</file>